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097B" w14:textId="4FB9328F" w:rsidR="002906A7" w:rsidRDefault="00E73237">
      <w:r>
        <w:rPr>
          <w:noProof/>
        </w:rPr>
        <w:drawing>
          <wp:anchor distT="0" distB="0" distL="114300" distR="114300" simplePos="0" relativeHeight="251659264" behindDoc="0" locked="0" layoutInCell="1" allowOverlap="1" wp14:anchorId="0ED5880C" wp14:editId="01C90D72">
            <wp:simplePos x="0" y="0"/>
            <wp:positionH relativeFrom="column">
              <wp:posOffset>4392023</wp:posOffset>
            </wp:positionH>
            <wp:positionV relativeFrom="paragraph">
              <wp:posOffset>-614862</wp:posOffset>
            </wp:positionV>
            <wp:extent cx="1262108" cy="6509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2108" cy="650910"/>
                    </a:xfrm>
                    <a:prstGeom prst="rect">
                      <a:avLst/>
                    </a:prstGeom>
                  </pic:spPr>
                </pic:pic>
              </a:graphicData>
            </a:graphic>
            <wp14:sizeRelH relativeFrom="page">
              <wp14:pctWidth>0</wp14:pctWidth>
            </wp14:sizeRelH>
            <wp14:sizeRelV relativeFrom="page">
              <wp14:pctHeight>0</wp14:pctHeight>
            </wp14:sizeRelV>
          </wp:anchor>
        </w:drawing>
      </w:r>
    </w:p>
    <w:p w14:paraId="458DF0C0" w14:textId="77777777" w:rsidR="00E73237" w:rsidRPr="00364662" w:rsidRDefault="00E73237" w:rsidP="00E73237">
      <w:pPr>
        <w:rPr>
          <w:rFonts w:ascii="Tahoma" w:eastAsia="Arial" w:hAnsi="Arial" w:cs="Arial"/>
          <w:color w:val="20A881"/>
          <w:sz w:val="40"/>
          <w:szCs w:val="40"/>
          <w:lang w:val="en-US"/>
        </w:rPr>
      </w:pPr>
      <w:r w:rsidRPr="00364662">
        <w:rPr>
          <w:rFonts w:ascii="Tahoma" w:eastAsia="Arial" w:hAnsi="Arial" w:cs="Arial"/>
          <w:color w:val="20A881"/>
          <w:sz w:val="40"/>
          <w:szCs w:val="40"/>
          <w:lang w:val="en-US"/>
        </w:rPr>
        <w:t xml:space="preserve">Product Governance and Fair Value Assessment </w:t>
      </w:r>
    </w:p>
    <w:p w14:paraId="3A02DA20" w14:textId="4170DC22" w:rsidR="002906A7" w:rsidRPr="00E73237" w:rsidRDefault="00E73237">
      <w:pPr>
        <w:rPr>
          <w:color w:val="545757"/>
        </w:rPr>
      </w:pPr>
      <w:r w:rsidRPr="00D973E0">
        <w:rPr>
          <w:color w:val="545757"/>
        </w:rPr>
        <w:t xml:space="preserve">Air Underwriting </w:t>
      </w:r>
      <w:r w:rsidR="002906A7" w:rsidRPr="00E73237">
        <w:rPr>
          <w:color w:val="545757"/>
        </w:rPr>
        <w:t xml:space="preserve">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2300271" w:rsidR="002906A7" w:rsidRPr="00E73237" w:rsidRDefault="002906A7">
      <w:pPr>
        <w:rPr>
          <w:color w:val="545757"/>
        </w:rPr>
      </w:pPr>
      <w:r w:rsidRPr="00E73237">
        <w:rPr>
          <w:color w:val="545757"/>
        </w:rPr>
        <w:t xml:space="preserve">This summary document has been created to fulfil our responsibilities under fair value regulations. </w:t>
      </w:r>
    </w:p>
    <w:p w14:paraId="76DA684A" w14:textId="2EA8D064" w:rsidR="001E78F9" w:rsidRPr="00E73237" w:rsidRDefault="001E78F9">
      <w:pPr>
        <w:rPr>
          <w:color w:val="545757"/>
        </w:rPr>
      </w:pPr>
      <w:r w:rsidRPr="00E73237">
        <w:rPr>
          <w:color w:val="545757"/>
        </w:rPr>
        <w:t xml:space="preserve">This document should not be used as a sales or marketing tool. The client facing broker must act in the best interests of each customer individually when deciding whether to recommend a particular policy or not. </w:t>
      </w:r>
    </w:p>
    <w:p w14:paraId="5AD1710C" w14:textId="77777777" w:rsidR="001E78F9" w:rsidRPr="00E73237" w:rsidRDefault="001E78F9">
      <w:pPr>
        <w:rPr>
          <w:color w:val="545757"/>
        </w:rPr>
      </w:pPr>
    </w:p>
    <w:p w14:paraId="5984D0C0" w14:textId="1457CEA0" w:rsidR="002906A7" w:rsidRPr="00E73237" w:rsidRDefault="002906A7">
      <w:pPr>
        <w:rPr>
          <w:rFonts w:ascii="Tahoma" w:eastAsia="Arial" w:hAnsi="Arial" w:cs="Arial"/>
          <w:color w:val="20A881"/>
          <w:sz w:val="32"/>
          <w:lang w:val="en-US"/>
        </w:rPr>
      </w:pPr>
      <w:r w:rsidRPr="00E73237">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E73237" w14:paraId="18BEB6A2" w14:textId="77777777" w:rsidTr="002906A7">
        <w:tc>
          <w:tcPr>
            <w:tcW w:w="3005" w:type="dxa"/>
          </w:tcPr>
          <w:p w14:paraId="0BD1CAE1" w14:textId="6E94C51C" w:rsidR="002906A7" w:rsidRPr="00E73237" w:rsidRDefault="002906A7">
            <w:pPr>
              <w:rPr>
                <w:color w:val="545757"/>
              </w:rPr>
            </w:pPr>
            <w:r w:rsidRPr="00F906C5">
              <w:rPr>
                <w:rFonts w:ascii="Arial" w:eastAsia="Arial" w:hAnsi="Arial" w:cs="Arial"/>
                <w:b/>
                <w:bCs/>
                <w:color w:val="20A881"/>
                <w:sz w:val="18"/>
                <w:szCs w:val="18"/>
                <w:lang w:val="en-US"/>
              </w:rPr>
              <w:t>Product</w:t>
            </w:r>
          </w:p>
        </w:tc>
        <w:tc>
          <w:tcPr>
            <w:tcW w:w="6062" w:type="dxa"/>
          </w:tcPr>
          <w:p w14:paraId="0A60C49A" w14:textId="7323D582" w:rsidR="002906A7" w:rsidRPr="00E73237" w:rsidRDefault="00970E1D">
            <w:pPr>
              <w:rPr>
                <w:color w:val="545757"/>
              </w:rPr>
            </w:pPr>
            <w:r w:rsidRPr="00E73237">
              <w:rPr>
                <w:color w:val="545757"/>
              </w:rPr>
              <w:t>Air</w:t>
            </w:r>
            <w:r w:rsidR="007C1F4F" w:rsidRPr="00E73237">
              <w:rPr>
                <w:color w:val="545757"/>
              </w:rPr>
              <w:t>-</w:t>
            </w:r>
            <w:r w:rsidRPr="00E73237">
              <w:rPr>
                <w:color w:val="545757"/>
              </w:rPr>
              <w:t xml:space="preserve"> </w:t>
            </w:r>
            <w:r w:rsidR="00171EFC" w:rsidRPr="00E73237">
              <w:rPr>
                <w:color w:val="545757"/>
              </w:rPr>
              <w:t>Liability</w:t>
            </w:r>
            <w:r w:rsidR="00F60DF9" w:rsidRPr="00E73237">
              <w:rPr>
                <w:color w:val="545757"/>
              </w:rPr>
              <w:t xml:space="preserve"> </w:t>
            </w:r>
            <w:r w:rsidR="00923A6F" w:rsidRPr="00E73237">
              <w:rPr>
                <w:color w:val="545757"/>
              </w:rPr>
              <w:t>Insurance</w:t>
            </w:r>
            <w:r w:rsidR="00992F6E" w:rsidRPr="00E73237">
              <w:rPr>
                <w:color w:val="545757"/>
              </w:rPr>
              <w:t xml:space="preserve">- Prior Submit </w:t>
            </w:r>
          </w:p>
        </w:tc>
      </w:tr>
    </w:tbl>
    <w:p w14:paraId="5941C858" w14:textId="77777777" w:rsidR="002906A7" w:rsidRPr="00E73237" w:rsidRDefault="002906A7">
      <w:pPr>
        <w:rPr>
          <w:color w:val="545757"/>
        </w:rPr>
      </w:pPr>
    </w:p>
    <w:p w14:paraId="308CA99F" w14:textId="4EA9F38F" w:rsidR="002906A7" w:rsidRPr="00E73237" w:rsidRDefault="00F94591">
      <w:pPr>
        <w:rPr>
          <w:rFonts w:ascii="Tahoma" w:eastAsia="Arial" w:hAnsi="Arial" w:cs="Arial"/>
          <w:color w:val="20A881"/>
          <w:sz w:val="32"/>
          <w:lang w:val="en-US"/>
        </w:rPr>
      </w:pPr>
      <w:r w:rsidRPr="00E73237">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E73237" w14:paraId="4DD73E1C" w14:textId="77777777" w:rsidTr="00F94591">
        <w:tc>
          <w:tcPr>
            <w:tcW w:w="2972" w:type="dxa"/>
          </w:tcPr>
          <w:p w14:paraId="0120AF81" w14:textId="60BC53E2" w:rsidR="00F94591" w:rsidRPr="00E73237" w:rsidRDefault="00F94591">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Most Recent Review</w:t>
            </w:r>
          </w:p>
        </w:tc>
        <w:tc>
          <w:tcPr>
            <w:tcW w:w="6044" w:type="dxa"/>
          </w:tcPr>
          <w:p w14:paraId="246505D1" w14:textId="0EC39F75" w:rsidR="00F94591" w:rsidRDefault="00501D41">
            <w:pPr>
              <w:rPr>
                <w:color w:val="545757"/>
              </w:rPr>
            </w:pPr>
            <w:r>
              <w:rPr>
                <w:color w:val="545757"/>
              </w:rPr>
              <w:t>July 202</w:t>
            </w:r>
            <w:r w:rsidR="008819A2">
              <w:rPr>
                <w:color w:val="545757"/>
              </w:rPr>
              <w:t>4</w:t>
            </w:r>
          </w:p>
          <w:p w14:paraId="5DF9A90D" w14:textId="68DDE9F3" w:rsidR="00E73237" w:rsidRPr="00E73237" w:rsidRDefault="00E73237">
            <w:pPr>
              <w:rPr>
                <w:color w:val="545757"/>
              </w:rPr>
            </w:pPr>
          </w:p>
        </w:tc>
      </w:tr>
      <w:tr w:rsidR="00F94591" w:rsidRPr="00E73237" w14:paraId="74EA65E3" w14:textId="77777777" w:rsidTr="00F94591">
        <w:tc>
          <w:tcPr>
            <w:tcW w:w="2972" w:type="dxa"/>
          </w:tcPr>
          <w:p w14:paraId="5576965B" w14:textId="083B7D18" w:rsidR="00F94591" w:rsidRPr="00E73237" w:rsidRDefault="00F94591">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Product Type</w:t>
            </w:r>
          </w:p>
        </w:tc>
        <w:tc>
          <w:tcPr>
            <w:tcW w:w="6044" w:type="dxa"/>
          </w:tcPr>
          <w:p w14:paraId="67E5278D" w14:textId="77777777" w:rsidR="00F94591" w:rsidRDefault="00F63C37">
            <w:pPr>
              <w:rPr>
                <w:color w:val="545757"/>
              </w:rPr>
            </w:pPr>
            <w:r w:rsidRPr="00E73237">
              <w:rPr>
                <w:color w:val="545757"/>
              </w:rPr>
              <w:t>Liability</w:t>
            </w:r>
            <w:r w:rsidR="00E45D71" w:rsidRPr="00E73237">
              <w:rPr>
                <w:color w:val="545757"/>
              </w:rPr>
              <w:t xml:space="preserve"> </w:t>
            </w:r>
            <w:r w:rsidR="00923A6F" w:rsidRPr="00E73237">
              <w:rPr>
                <w:color w:val="545757"/>
              </w:rPr>
              <w:t>Insurance</w:t>
            </w:r>
          </w:p>
          <w:p w14:paraId="41730743" w14:textId="529CE40A" w:rsidR="00E73237" w:rsidRPr="00E73237" w:rsidRDefault="00E73237">
            <w:pPr>
              <w:rPr>
                <w:color w:val="545757"/>
              </w:rPr>
            </w:pPr>
          </w:p>
        </w:tc>
      </w:tr>
      <w:tr w:rsidR="00F94591" w:rsidRPr="00E73237" w14:paraId="77963E18" w14:textId="77777777" w:rsidTr="00F94591">
        <w:tc>
          <w:tcPr>
            <w:tcW w:w="2972" w:type="dxa"/>
          </w:tcPr>
          <w:p w14:paraId="5DE3E884" w14:textId="77777777" w:rsidR="00F94591" w:rsidRPr="00E73237" w:rsidRDefault="00F94591">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Manufacturer/ Co Manufacturer</w:t>
            </w:r>
          </w:p>
          <w:p w14:paraId="5F53996B" w14:textId="5D2B36D8" w:rsidR="00E73237" w:rsidRPr="00E73237" w:rsidRDefault="00E73237">
            <w:pPr>
              <w:rPr>
                <w:rFonts w:ascii="Arial" w:eastAsia="Arial" w:hAnsi="Arial" w:cs="Arial"/>
                <w:b/>
                <w:bCs/>
                <w:color w:val="20A881"/>
                <w:sz w:val="18"/>
                <w:szCs w:val="18"/>
                <w:lang w:val="en-US"/>
              </w:rPr>
            </w:pPr>
          </w:p>
        </w:tc>
        <w:tc>
          <w:tcPr>
            <w:tcW w:w="6044" w:type="dxa"/>
          </w:tcPr>
          <w:p w14:paraId="253183B3" w14:textId="45CB7936" w:rsidR="00351EF1" w:rsidRPr="00E73237" w:rsidRDefault="00171EFC">
            <w:pPr>
              <w:rPr>
                <w:color w:val="545757"/>
              </w:rPr>
            </w:pPr>
            <w:r w:rsidRPr="00E73237">
              <w:rPr>
                <w:color w:val="545757"/>
              </w:rPr>
              <w:t>Axis Specialty Europe SE</w:t>
            </w:r>
          </w:p>
        </w:tc>
      </w:tr>
      <w:tr w:rsidR="00F94591" w:rsidRPr="00E73237" w14:paraId="6B2ABF31" w14:textId="77777777" w:rsidTr="00F94591">
        <w:tc>
          <w:tcPr>
            <w:tcW w:w="2972" w:type="dxa"/>
          </w:tcPr>
          <w:p w14:paraId="59D91747" w14:textId="7CD03B2C" w:rsidR="00F94591" w:rsidRPr="00E73237" w:rsidRDefault="00F94591">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Territorial Limits</w:t>
            </w:r>
          </w:p>
        </w:tc>
        <w:tc>
          <w:tcPr>
            <w:tcW w:w="6044" w:type="dxa"/>
          </w:tcPr>
          <w:p w14:paraId="350EBB9C" w14:textId="429FC402" w:rsidR="00171EFC" w:rsidRPr="00E73237" w:rsidRDefault="00171EFC" w:rsidP="00171EFC">
            <w:pPr>
              <w:rPr>
                <w:color w:val="545757"/>
              </w:rPr>
            </w:pPr>
            <w:r w:rsidRPr="00E73237">
              <w:rPr>
                <w:color w:val="545757"/>
              </w:rPr>
              <w:t xml:space="preserve">United Kingdom, the Channel Islands and the Isle of Man, and elsewhere in the world in respect of temporary visits by employees normally resident in the United Kingdom, the Channel Islands and the Isle of Man. </w:t>
            </w:r>
          </w:p>
          <w:p w14:paraId="5FB7A755" w14:textId="77777777" w:rsidR="00F94591" w:rsidRDefault="00171EFC" w:rsidP="00171EFC">
            <w:pPr>
              <w:rPr>
                <w:color w:val="545757"/>
              </w:rPr>
            </w:pPr>
            <w:r w:rsidRPr="00E73237">
              <w:rPr>
                <w:color w:val="545757"/>
              </w:rPr>
              <w:t>In respect of product liability cover is granted worldwide but excluding USA and Canada (unless otherwise agreed by the Insurers)</w:t>
            </w:r>
          </w:p>
          <w:p w14:paraId="785EE2AB" w14:textId="0B5BE6F3" w:rsidR="00E73237" w:rsidRPr="00E73237" w:rsidRDefault="00E73237" w:rsidP="00171EFC">
            <w:pPr>
              <w:rPr>
                <w:color w:val="545757"/>
              </w:rPr>
            </w:pPr>
          </w:p>
        </w:tc>
      </w:tr>
      <w:tr w:rsidR="00F94591" w:rsidRPr="00E73237" w14:paraId="1C5FF446" w14:textId="77777777" w:rsidTr="00F94591">
        <w:tc>
          <w:tcPr>
            <w:tcW w:w="2972" w:type="dxa"/>
          </w:tcPr>
          <w:p w14:paraId="61F5AB6B" w14:textId="6C65D951" w:rsidR="00F94591" w:rsidRPr="00E73237" w:rsidRDefault="00F94591">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Target Market</w:t>
            </w:r>
          </w:p>
        </w:tc>
        <w:tc>
          <w:tcPr>
            <w:tcW w:w="6044" w:type="dxa"/>
          </w:tcPr>
          <w:p w14:paraId="169C7CDD" w14:textId="77777777" w:rsidR="00F94591" w:rsidRDefault="001E78F9">
            <w:pPr>
              <w:rPr>
                <w:color w:val="545757"/>
              </w:rPr>
            </w:pPr>
            <w:r w:rsidRPr="00E73237">
              <w:rPr>
                <w:color w:val="545757"/>
              </w:rPr>
              <w:t>UK Micro and SME Businesses</w:t>
            </w:r>
            <w:r w:rsidR="00021D0D" w:rsidRPr="00E73237">
              <w:rPr>
                <w:color w:val="545757"/>
              </w:rPr>
              <w:t xml:space="preserve"> </w:t>
            </w:r>
          </w:p>
          <w:p w14:paraId="28BE0203" w14:textId="239B446B" w:rsidR="00E73237" w:rsidRPr="00E73237" w:rsidRDefault="00E73237">
            <w:pPr>
              <w:rPr>
                <w:color w:val="545757"/>
              </w:rPr>
            </w:pPr>
          </w:p>
        </w:tc>
      </w:tr>
      <w:tr w:rsidR="00F94591" w:rsidRPr="00E73237" w14:paraId="12674BC3" w14:textId="77777777" w:rsidTr="00F94591">
        <w:tc>
          <w:tcPr>
            <w:tcW w:w="2972" w:type="dxa"/>
          </w:tcPr>
          <w:p w14:paraId="282AEA56" w14:textId="5F33898E" w:rsidR="00F94591" w:rsidRPr="00E73237" w:rsidRDefault="00F94591">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Outside Target Market</w:t>
            </w:r>
          </w:p>
        </w:tc>
        <w:tc>
          <w:tcPr>
            <w:tcW w:w="6044" w:type="dxa"/>
          </w:tcPr>
          <w:p w14:paraId="14F08B7F" w14:textId="77777777" w:rsidR="00F94591" w:rsidRDefault="001E78F9">
            <w:pPr>
              <w:rPr>
                <w:color w:val="545757"/>
              </w:rPr>
            </w:pPr>
            <w:r w:rsidRPr="00E73237">
              <w:rPr>
                <w:color w:val="545757"/>
              </w:rPr>
              <w:t xml:space="preserve">All others outside of </w:t>
            </w:r>
            <w:r w:rsidR="00021D0D" w:rsidRPr="00E73237">
              <w:rPr>
                <w:color w:val="545757"/>
              </w:rPr>
              <w:t xml:space="preserve">the </w:t>
            </w:r>
            <w:r w:rsidRPr="00E73237">
              <w:rPr>
                <w:color w:val="545757"/>
              </w:rPr>
              <w:t>Target Market</w:t>
            </w:r>
          </w:p>
          <w:p w14:paraId="116CB4F8" w14:textId="0C6EE269" w:rsidR="00E73237" w:rsidRPr="00E73237" w:rsidRDefault="00E73237">
            <w:pPr>
              <w:rPr>
                <w:color w:val="545757"/>
              </w:rPr>
            </w:pPr>
          </w:p>
        </w:tc>
      </w:tr>
      <w:tr w:rsidR="00F94591" w:rsidRPr="00E73237" w14:paraId="014C2F08" w14:textId="77777777" w:rsidTr="00F94591">
        <w:tc>
          <w:tcPr>
            <w:tcW w:w="2972" w:type="dxa"/>
          </w:tcPr>
          <w:p w14:paraId="1FD23E20" w14:textId="0E9F3244" w:rsidR="00F94591" w:rsidRPr="00E73237" w:rsidRDefault="00F94591">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Characteristics of the Product aimed at meeting the needs of the target market</w:t>
            </w:r>
          </w:p>
        </w:tc>
        <w:tc>
          <w:tcPr>
            <w:tcW w:w="6044" w:type="dxa"/>
          </w:tcPr>
          <w:p w14:paraId="60B400F6" w14:textId="3B94F5AB" w:rsidR="00572C04" w:rsidRPr="00E73237" w:rsidRDefault="00572C04" w:rsidP="00572C04">
            <w:pPr>
              <w:rPr>
                <w:color w:val="545757"/>
              </w:rPr>
            </w:pPr>
            <w:r w:rsidRPr="00E73237">
              <w:rPr>
                <w:b/>
                <w:bCs/>
                <w:color w:val="545757"/>
              </w:rPr>
              <w:t>Employers Liability</w:t>
            </w:r>
            <w:r w:rsidRPr="00E73237">
              <w:rPr>
                <w:color w:val="545757"/>
              </w:rPr>
              <w:t>: The Product cover the Insured’s legal liability to pay damages, including defence costs, for injury to an employee which occurs in the course of their employment.</w:t>
            </w:r>
          </w:p>
          <w:p w14:paraId="7495D0AE" w14:textId="6B244733" w:rsidR="00572C04" w:rsidRDefault="00572C04" w:rsidP="00572C04">
            <w:pPr>
              <w:spacing w:before="120"/>
              <w:rPr>
                <w:color w:val="545757"/>
              </w:rPr>
            </w:pPr>
            <w:r w:rsidRPr="00E73237">
              <w:rPr>
                <w:b/>
                <w:bCs/>
                <w:color w:val="545757"/>
              </w:rPr>
              <w:t>Public Liability</w:t>
            </w:r>
            <w:r w:rsidRPr="00E73237">
              <w:rPr>
                <w:color w:val="545757"/>
              </w:rPr>
              <w:t xml:space="preserve">: The Product covers the Insured’s legal liability to pay damages, including defence costs, for accidental injury and/or accidental damage incurred in connection with the business. </w:t>
            </w:r>
          </w:p>
          <w:p w14:paraId="69CC54FA" w14:textId="77777777" w:rsidR="00E73237" w:rsidRPr="00E73237" w:rsidRDefault="00E73237" w:rsidP="00572C04">
            <w:pPr>
              <w:spacing w:before="120"/>
              <w:rPr>
                <w:color w:val="545757"/>
              </w:rPr>
            </w:pPr>
          </w:p>
          <w:p w14:paraId="327391F5" w14:textId="60AF2E15" w:rsidR="00572C04" w:rsidRPr="00E73237" w:rsidRDefault="00E73237" w:rsidP="00572C04">
            <w:pPr>
              <w:spacing w:before="120"/>
              <w:rPr>
                <w:color w:val="545757"/>
              </w:rPr>
            </w:pPr>
            <w:r>
              <w:rPr>
                <w:noProof/>
              </w:rPr>
              <w:lastRenderedPageBreak/>
              <w:drawing>
                <wp:anchor distT="0" distB="0" distL="114300" distR="114300" simplePos="0" relativeHeight="251661312" behindDoc="0" locked="0" layoutInCell="1" allowOverlap="1" wp14:anchorId="283183C2" wp14:editId="1E327778">
                  <wp:simplePos x="0" y="0"/>
                  <wp:positionH relativeFrom="column">
                    <wp:posOffset>3070225</wp:posOffset>
                  </wp:positionH>
                  <wp:positionV relativeFrom="paragraph">
                    <wp:posOffset>-897889</wp:posOffset>
                  </wp:positionV>
                  <wp:extent cx="1591945" cy="821018"/>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4450" cy="822310"/>
                          </a:xfrm>
                          <a:prstGeom prst="rect">
                            <a:avLst/>
                          </a:prstGeom>
                        </pic:spPr>
                      </pic:pic>
                    </a:graphicData>
                  </a:graphic>
                  <wp14:sizeRelH relativeFrom="page">
                    <wp14:pctWidth>0</wp14:pctWidth>
                  </wp14:sizeRelH>
                  <wp14:sizeRelV relativeFrom="page">
                    <wp14:pctHeight>0</wp14:pctHeight>
                  </wp14:sizeRelV>
                </wp:anchor>
              </w:drawing>
            </w:r>
            <w:r w:rsidR="00572C04" w:rsidRPr="00E73237">
              <w:rPr>
                <w:b/>
                <w:bCs/>
                <w:color w:val="545757"/>
              </w:rPr>
              <w:t>Products Liability</w:t>
            </w:r>
            <w:r w:rsidR="00572C04" w:rsidRPr="00E73237">
              <w:rPr>
                <w:color w:val="545757"/>
              </w:rPr>
              <w:t>:  The Product covers the Insured’s legal liability to pay damages, including defence costs, for accidental injury and/or accidental damage arising out of or in connection with any product connected to their business.</w:t>
            </w:r>
          </w:p>
          <w:p w14:paraId="0C98E818" w14:textId="0D40A5B6" w:rsidR="007C1F4F" w:rsidRPr="00E73237" w:rsidRDefault="008348A4" w:rsidP="00E73237">
            <w:pPr>
              <w:spacing w:before="120"/>
              <w:rPr>
                <w:b/>
                <w:bCs/>
                <w:color w:val="545757"/>
              </w:rPr>
            </w:pPr>
            <w:r w:rsidRPr="00E73237">
              <w:rPr>
                <w:b/>
                <w:bCs/>
                <w:color w:val="545757"/>
              </w:rPr>
              <w:t xml:space="preserve">See </w:t>
            </w:r>
            <w:r w:rsidR="00DD76CD">
              <w:rPr>
                <w:b/>
                <w:bCs/>
                <w:color w:val="545757"/>
              </w:rPr>
              <w:t xml:space="preserve">the </w:t>
            </w:r>
            <w:r w:rsidR="00DD76CD" w:rsidRPr="00DD76CD">
              <w:rPr>
                <w:b/>
                <w:bCs/>
                <w:color w:val="545757"/>
                <w:lang w:val="en-US"/>
              </w:rPr>
              <w:t>Information Product Information Document</w:t>
            </w:r>
            <w:r w:rsidRPr="00E73237">
              <w:rPr>
                <w:b/>
                <w:bCs/>
                <w:color w:val="545757"/>
              </w:rPr>
              <w:t xml:space="preserve"> and Policy Wording for full details of cover and relevant exclusions.</w:t>
            </w:r>
          </w:p>
          <w:p w14:paraId="5FA613A3" w14:textId="77777777" w:rsidR="00F94591" w:rsidRPr="00E73237" w:rsidRDefault="00F94591">
            <w:pPr>
              <w:rPr>
                <w:color w:val="545757"/>
              </w:rPr>
            </w:pPr>
          </w:p>
        </w:tc>
      </w:tr>
      <w:tr w:rsidR="00836D49" w:rsidRPr="00E73237" w14:paraId="707F3FDA" w14:textId="77777777" w:rsidTr="00F94591">
        <w:tc>
          <w:tcPr>
            <w:tcW w:w="2972" w:type="dxa"/>
          </w:tcPr>
          <w:p w14:paraId="4DC8A5EB" w14:textId="2377B41C" w:rsidR="00836D49" w:rsidRPr="00E73237" w:rsidRDefault="00836D49">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lastRenderedPageBreak/>
              <w:t>Distribution Strategy</w:t>
            </w:r>
          </w:p>
        </w:tc>
        <w:tc>
          <w:tcPr>
            <w:tcW w:w="6044" w:type="dxa"/>
          </w:tcPr>
          <w:p w14:paraId="0F7E74CC" w14:textId="77777777" w:rsidR="00836D49" w:rsidRDefault="00836D49">
            <w:pPr>
              <w:rPr>
                <w:color w:val="545757"/>
              </w:rPr>
            </w:pPr>
            <w:r w:rsidRPr="00E73237">
              <w:rPr>
                <w:color w:val="545757"/>
              </w:rPr>
              <w:t xml:space="preserve">This product is intended for distribution via FCA authorised brokers only. Brokers must be approved by us and </w:t>
            </w:r>
            <w:proofErr w:type="gramStart"/>
            <w:r w:rsidRPr="00E73237">
              <w:rPr>
                <w:color w:val="545757"/>
              </w:rPr>
              <w:t>enter into</w:t>
            </w:r>
            <w:proofErr w:type="gramEnd"/>
            <w:r w:rsidRPr="00E73237">
              <w:rPr>
                <w:color w:val="545757"/>
              </w:rPr>
              <w:t xml:space="preserve"> our standard format TOBA.</w:t>
            </w:r>
            <w:r w:rsidR="006E78CE" w:rsidRPr="00E73237">
              <w:rPr>
                <w:color w:val="545757"/>
              </w:rPr>
              <w:t xml:space="preserve"> </w:t>
            </w:r>
            <w:r w:rsidRPr="00E73237">
              <w:rPr>
                <w:color w:val="545757"/>
              </w:rPr>
              <w:t xml:space="preserve">Brokers may access this product via </w:t>
            </w:r>
            <w:r w:rsidR="006A6932" w:rsidRPr="00E73237">
              <w:rPr>
                <w:color w:val="545757"/>
              </w:rPr>
              <w:t>a broking submission</w:t>
            </w:r>
            <w:r w:rsidRPr="00E73237">
              <w:rPr>
                <w:color w:val="545757"/>
              </w:rPr>
              <w:t>. Sub- broking is not permitte</w:t>
            </w:r>
            <w:r w:rsidR="006E78CE" w:rsidRPr="00E73237">
              <w:rPr>
                <w:color w:val="545757"/>
              </w:rPr>
              <w:t>d.</w:t>
            </w:r>
          </w:p>
          <w:p w14:paraId="259216BE" w14:textId="37FD67A8" w:rsidR="00E73237" w:rsidRPr="00E73237" w:rsidRDefault="00E73237">
            <w:pPr>
              <w:rPr>
                <w:color w:val="545757"/>
              </w:rPr>
            </w:pPr>
          </w:p>
        </w:tc>
      </w:tr>
      <w:tr w:rsidR="006E78CE" w:rsidRPr="00E73237" w14:paraId="4230F262" w14:textId="77777777" w:rsidTr="00F94591">
        <w:tc>
          <w:tcPr>
            <w:tcW w:w="2972" w:type="dxa"/>
          </w:tcPr>
          <w:p w14:paraId="0B9E7AD5" w14:textId="0A3073E9" w:rsidR="006E78CE" w:rsidRPr="00E73237" w:rsidRDefault="006E78CE">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Commission</w:t>
            </w:r>
          </w:p>
        </w:tc>
        <w:tc>
          <w:tcPr>
            <w:tcW w:w="6044" w:type="dxa"/>
          </w:tcPr>
          <w:p w14:paraId="7748B9B2" w14:textId="77777777" w:rsidR="006E78CE" w:rsidRDefault="006E78CE">
            <w:pPr>
              <w:rPr>
                <w:color w:val="545757"/>
              </w:rPr>
            </w:pPr>
            <w:r w:rsidRPr="00E73237">
              <w:rPr>
                <w:color w:val="545757"/>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p>
          <w:p w14:paraId="59DB03E3" w14:textId="015364A5" w:rsidR="00E73237" w:rsidRPr="00E73237" w:rsidRDefault="00E73237">
            <w:pPr>
              <w:rPr>
                <w:color w:val="545757"/>
              </w:rPr>
            </w:pPr>
          </w:p>
        </w:tc>
      </w:tr>
      <w:tr w:rsidR="006E78CE" w:rsidRPr="00E73237" w14:paraId="135287CE" w14:textId="77777777" w:rsidTr="00F94591">
        <w:tc>
          <w:tcPr>
            <w:tcW w:w="2972" w:type="dxa"/>
          </w:tcPr>
          <w:p w14:paraId="31B5CD18" w14:textId="7D7BD5B5" w:rsidR="006E78CE" w:rsidRPr="00E73237" w:rsidRDefault="006E78CE">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Other Renumeration</w:t>
            </w:r>
          </w:p>
        </w:tc>
        <w:tc>
          <w:tcPr>
            <w:tcW w:w="6044" w:type="dxa"/>
          </w:tcPr>
          <w:p w14:paraId="3C40D9C3" w14:textId="77777777" w:rsidR="006E78CE" w:rsidRDefault="006E78CE">
            <w:pPr>
              <w:rPr>
                <w:color w:val="545757"/>
              </w:rPr>
            </w:pPr>
            <w:r w:rsidRPr="00E73237">
              <w:rPr>
                <w:color w:val="545757"/>
              </w:rPr>
              <w:t>We will charge an Underwriting Fee on all policies. We will also charge a fee if your customer requests a mid-term adjustment or asks</w:t>
            </w:r>
            <w:r w:rsidR="0053651F" w:rsidRPr="00E73237">
              <w:rPr>
                <w:color w:val="545757"/>
              </w:rPr>
              <w:t xml:space="preserve"> to</w:t>
            </w:r>
            <w:r w:rsidRPr="00E73237">
              <w:rPr>
                <w:color w:val="545757"/>
              </w:rPr>
              <w:t xml:space="preserve"> cancel the policy during its term (other than in the cooling off period). Full details of our fees can be found within the quote documentation pack. We review our fees annually to ensure that they remain appropriate. We may ask you provide details of remuneration you earn in connection with the sale of our policy. This includes any fees, premium finance earnings, earning from non</w:t>
            </w:r>
            <w:r w:rsidR="00D1568E" w:rsidRPr="00E73237">
              <w:rPr>
                <w:color w:val="545757"/>
              </w:rPr>
              <w:t>-</w:t>
            </w:r>
            <w:r w:rsidRPr="00E73237">
              <w:rPr>
                <w:color w:val="545757"/>
              </w:rPr>
              <w:t>insurance products or add-ons sold alongside our policy. You must ensure that your arrangements are consistent with FCA rules on conflicts and incentives. You should review all remuneration arrangements at least annually and share the outcome of that review with us on request.</w:t>
            </w:r>
          </w:p>
          <w:p w14:paraId="2689E63D" w14:textId="3C08E4DE" w:rsidR="00E73237" w:rsidRPr="00E73237" w:rsidRDefault="00E73237">
            <w:pPr>
              <w:rPr>
                <w:color w:val="545757"/>
              </w:rPr>
            </w:pPr>
          </w:p>
        </w:tc>
      </w:tr>
      <w:tr w:rsidR="006C47F2" w:rsidRPr="00E73237" w14:paraId="57BD105B" w14:textId="77777777" w:rsidTr="00F94591">
        <w:tc>
          <w:tcPr>
            <w:tcW w:w="2972" w:type="dxa"/>
          </w:tcPr>
          <w:p w14:paraId="296D53D8" w14:textId="4307FE0A" w:rsidR="006C47F2" w:rsidRPr="00E73237" w:rsidRDefault="006C47F2">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t>Fair Value Review</w:t>
            </w:r>
          </w:p>
        </w:tc>
        <w:tc>
          <w:tcPr>
            <w:tcW w:w="6044" w:type="dxa"/>
          </w:tcPr>
          <w:p w14:paraId="03399609" w14:textId="77777777" w:rsidR="006C47F2" w:rsidRPr="00E73237" w:rsidRDefault="006C47F2">
            <w:pPr>
              <w:rPr>
                <w:color w:val="545757"/>
              </w:rPr>
            </w:pPr>
            <w:r w:rsidRPr="00E73237">
              <w:rPr>
                <w:color w:val="545757"/>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79F46F52" w14:textId="77777777" w:rsidR="00E73237" w:rsidRDefault="006C47F2" w:rsidP="006E33A9">
            <w:pPr>
              <w:pStyle w:val="ListParagraph"/>
              <w:numPr>
                <w:ilvl w:val="0"/>
                <w:numId w:val="3"/>
              </w:numPr>
              <w:rPr>
                <w:color w:val="545757"/>
              </w:rPr>
            </w:pPr>
            <w:r w:rsidRPr="00E73237">
              <w:rPr>
                <w:color w:val="545757"/>
              </w:rPr>
              <w:t xml:space="preserve">not charging customers additional amounts over and above the gross premium plus underwriting fees quoted by us without first determining that they do not have a detrimental effect on the value of the product. </w:t>
            </w:r>
          </w:p>
          <w:p w14:paraId="623649E0" w14:textId="315FA6CF" w:rsidR="00E73237" w:rsidRPr="00E73237" w:rsidRDefault="006C47F2" w:rsidP="00E73237">
            <w:pPr>
              <w:pStyle w:val="ListParagraph"/>
              <w:numPr>
                <w:ilvl w:val="0"/>
                <w:numId w:val="3"/>
              </w:numPr>
              <w:rPr>
                <w:color w:val="545757"/>
              </w:rPr>
            </w:pPr>
            <w:r w:rsidRPr="00E73237">
              <w:rPr>
                <w:color w:val="545757"/>
              </w:rPr>
              <w:t xml:space="preserve">Ensuring that no duplicate cover exists or is caused by an </w:t>
            </w:r>
            <w:proofErr w:type="gramStart"/>
            <w:r w:rsidRPr="00E73237">
              <w:rPr>
                <w:color w:val="545757"/>
              </w:rPr>
              <w:t>add-on</w:t>
            </w:r>
            <w:r w:rsidR="003D68D8" w:rsidRPr="00E73237">
              <w:rPr>
                <w:color w:val="545757"/>
              </w:rPr>
              <w:t>s</w:t>
            </w:r>
            <w:proofErr w:type="gramEnd"/>
            <w:r w:rsidRPr="00E73237">
              <w:rPr>
                <w:color w:val="545757"/>
              </w:rPr>
              <w:t xml:space="preserve"> where that cover is already provided by the policy</w:t>
            </w:r>
          </w:p>
        </w:tc>
      </w:tr>
      <w:tr w:rsidR="006C47F2" w:rsidRPr="00E73237" w14:paraId="77784AFA" w14:textId="77777777" w:rsidTr="00F94591">
        <w:tc>
          <w:tcPr>
            <w:tcW w:w="2972" w:type="dxa"/>
          </w:tcPr>
          <w:p w14:paraId="67D5BFA8" w14:textId="7447DCA1" w:rsidR="006C47F2" w:rsidRPr="00E73237" w:rsidRDefault="006C47F2">
            <w:pPr>
              <w:rPr>
                <w:rFonts w:ascii="Arial" w:eastAsia="Arial" w:hAnsi="Arial" w:cs="Arial"/>
                <w:b/>
                <w:bCs/>
                <w:color w:val="20A881"/>
                <w:sz w:val="18"/>
                <w:szCs w:val="18"/>
                <w:lang w:val="en-US"/>
              </w:rPr>
            </w:pPr>
            <w:r w:rsidRPr="00E73237">
              <w:rPr>
                <w:rFonts w:ascii="Arial" w:eastAsia="Arial" w:hAnsi="Arial" w:cs="Arial"/>
                <w:b/>
                <w:bCs/>
                <w:color w:val="20A881"/>
                <w:sz w:val="18"/>
                <w:szCs w:val="18"/>
                <w:lang w:val="en-US"/>
              </w:rPr>
              <w:lastRenderedPageBreak/>
              <w:t>Customers for whom the product is not expected to provide fair value</w:t>
            </w:r>
          </w:p>
        </w:tc>
        <w:tc>
          <w:tcPr>
            <w:tcW w:w="6044" w:type="dxa"/>
          </w:tcPr>
          <w:p w14:paraId="2AF160C9" w14:textId="77777777" w:rsidR="006C47F2" w:rsidRDefault="006C47F2">
            <w:pPr>
              <w:rPr>
                <w:color w:val="545757"/>
              </w:rPr>
            </w:pPr>
            <w:r w:rsidRPr="00E73237">
              <w:rPr>
                <w:color w:val="545757"/>
              </w:rPr>
              <w:t xml:space="preserve">This product would not be expected to provide fair value to policyholders/risks that fall outside </w:t>
            </w:r>
            <w:r w:rsidR="00262D35" w:rsidRPr="00E73237">
              <w:rPr>
                <w:color w:val="545757"/>
              </w:rPr>
              <w:t xml:space="preserve">of </w:t>
            </w:r>
            <w:r w:rsidRPr="00E73237">
              <w:rPr>
                <w:color w:val="545757"/>
              </w:rPr>
              <w:t>the Target Market</w:t>
            </w:r>
            <w:r w:rsidR="00314E9E" w:rsidRPr="00E73237">
              <w:rPr>
                <w:color w:val="545757"/>
              </w:rPr>
              <w:t>.</w:t>
            </w:r>
          </w:p>
          <w:p w14:paraId="0E268991" w14:textId="52553C26" w:rsidR="00E73237" w:rsidRPr="00E73237" w:rsidRDefault="00E73237">
            <w:pPr>
              <w:rPr>
                <w:color w:val="545757"/>
              </w:rPr>
            </w:pPr>
          </w:p>
        </w:tc>
      </w:tr>
      <w:tr w:rsidR="006E78CE" w:rsidRPr="00E73237" w14:paraId="52F6D057" w14:textId="77777777" w:rsidTr="00F94591">
        <w:tc>
          <w:tcPr>
            <w:tcW w:w="2972" w:type="dxa"/>
          </w:tcPr>
          <w:p w14:paraId="7FC15516" w14:textId="32BD770B" w:rsidR="006E78CE" w:rsidRPr="00E73237" w:rsidRDefault="006C47F2">
            <w:pPr>
              <w:rPr>
                <w:color w:val="545757"/>
              </w:rPr>
            </w:pPr>
            <w:r w:rsidRPr="00E73237">
              <w:rPr>
                <w:rFonts w:ascii="Arial" w:eastAsia="Arial" w:hAnsi="Arial" w:cs="Arial"/>
                <w:b/>
                <w:bCs/>
                <w:color w:val="20A881"/>
                <w:sz w:val="18"/>
                <w:szCs w:val="18"/>
                <w:lang w:val="en-US"/>
              </w:rPr>
              <w:t>Relevant documents available via our website</w:t>
            </w:r>
          </w:p>
        </w:tc>
        <w:tc>
          <w:tcPr>
            <w:tcW w:w="6044" w:type="dxa"/>
          </w:tcPr>
          <w:p w14:paraId="18354804" w14:textId="259A6E61" w:rsidR="003C70F8" w:rsidRPr="00E73237" w:rsidRDefault="001C2AF5">
            <w:pPr>
              <w:rPr>
                <w:color w:val="545757"/>
              </w:rPr>
            </w:pPr>
            <w:r w:rsidRPr="001C2AF5">
              <w:rPr>
                <w:color w:val="545757"/>
                <w:lang w:val="en-US"/>
              </w:rPr>
              <w:t>Information Product Information Document</w:t>
            </w:r>
          </w:p>
          <w:p w14:paraId="65B0A515" w14:textId="77777777" w:rsidR="006E78CE" w:rsidRDefault="007C1F4F">
            <w:pPr>
              <w:rPr>
                <w:color w:val="545757"/>
              </w:rPr>
            </w:pPr>
            <w:r w:rsidRPr="00E73237">
              <w:rPr>
                <w:color w:val="545757"/>
              </w:rPr>
              <w:t>Policy Wording</w:t>
            </w:r>
          </w:p>
          <w:p w14:paraId="36EA3B6F" w14:textId="091AD6D7" w:rsidR="00E73237" w:rsidRPr="00E73237" w:rsidRDefault="00E73237">
            <w:pPr>
              <w:rPr>
                <w:color w:val="545757"/>
              </w:rPr>
            </w:pPr>
          </w:p>
        </w:tc>
      </w:tr>
    </w:tbl>
    <w:p w14:paraId="4860A3CC" w14:textId="2E683D6F" w:rsidR="002906A7" w:rsidRPr="00E73237" w:rsidRDefault="00E73237">
      <w:pPr>
        <w:rPr>
          <w:color w:val="545757"/>
        </w:rPr>
      </w:pPr>
      <w:r>
        <w:rPr>
          <w:noProof/>
        </w:rPr>
        <w:drawing>
          <wp:anchor distT="0" distB="0" distL="114300" distR="114300" simplePos="0" relativeHeight="251663360" behindDoc="0" locked="0" layoutInCell="1" allowOverlap="1" wp14:anchorId="44DFF83E" wp14:editId="023500FA">
            <wp:simplePos x="0" y="0"/>
            <wp:positionH relativeFrom="column">
              <wp:posOffset>5021738</wp:posOffset>
            </wp:positionH>
            <wp:positionV relativeFrom="paragraph">
              <wp:posOffset>-1935480</wp:posOffset>
            </wp:positionV>
            <wp:extent cx="1599565" cy="824947"/>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9565" cy="824947"/>
                    </a:xfrm>
                    <a:prstGeom prst="rect">
                      <a:avLst/>
                    </a:prstGeom>
                  </pic:spPr>
                </pic:pic>
              </a:graphicData>
            </a:graphic>
            <wp14:sizeRelH relativeFrom="page">
              <wp14:pctWidth>0</wp14:pctWidth>
            </wp14:sizeRelH>
            <wp14:sizeRelV relativeFrom="page">
              <wp14:pctHeight>0</wp14:pctHeight>
            </wp14:sizeRelV>
          </wp:anchor>
        </w:drawing>
      </w:r>
    </w:p>
    <w:p w14:paraId="49835F07" w14:textId="77777777" w:rsidR="003C70F8" w:rsidRPr="00E73237" w:rsidRDefault="003C70F8">
      <w:pPr>
        <w:rPr>
          <w:color w:val="545757"/>
        </w:rPr>
      </w:pPr>
    </w:p>
    <w:p w14:paraId="37B3978F" w14:textId="77777777" w:rsidR="002906A7" w:rsidRPr="00E73237" w:rsidRDefault="002906A7">
      <w:pPr>
        <w:rPr>
          <w:color w:val="545757"/>
        </w:rPr>
      </w:pPr>
    </w:p>
    <w:p w14:paraId="072CE200" w14:textId="77777777" w:rsidR="002906A7" w:rsidRPr="00E73237" w:rsidRDefault="002906A7">
      <w:pPr>
        <w:rPr>
          <w:color w:val="545757"/>
        </w:rPr>
      </w:pPr>
    </w:p>
    <w:p w14:paraId="34C18EDB" w14:textId="77777777" w:rsidR="002906A7" w:rsidRPr="00E73237" w:rsidRDefault="002906A7">
      <w:pPr>
        <w:rPr>
          <w:color w:val="545757"/>
        </w:rPr>
      </w:pPr>
    </w:p>
    <w:p w14:paraId="034E957A" w14:textId="77777777" w:rsidR="002906A7" w:rsidRPr="00E73237" w:rsidRDefault="002906A7">
      <w:pPr>
        <w:rPr>
          <w:color w:val="545757"/>
        </w:rPr>
      </w:pPr>
    </w:p>
    <w:p w14:paraId="54A22F74" w14:textId="77777777" w:rsidR="002906A7" w:rsidRPr="00E73237" w:rsidRDefault="002906A7">
      <w:pPr>
        <w:rPr>
          <w:color w:val="545757"/>
        </w:rPr>
      </w:pPr>
    </w:p>
    <w:p w14:paraId="3607A1AE" w14:textId="77777777" w:rsidR="002906A7" w:rsidRPr="00E73237" w:rsidRDefault="002906A7">
      <w:pPr>
        <w:rPr>
          <w:color w:val="545757"/>
        </w:rPr>
      </w:pPr>
    </w:p>
    <w:p w14:paraId="6AEDD565" w14:textId="77777777" w:rsidR="002906A7" w:rsidRPr="00E73237" w:rsidRDefault="002906A7">
      <w:pPr>
        <w:rPr>
          <w:color w:val="545757"/>
        </w:rPr>
      </w:pPr>
    </w:p>
    <w:p w14:paraId="14461E69" w14:textId="77777777" w:rsidR="002906A7" w:rsidRPr="00E73237" w:rsidRDefault="002906A7">
      <w:pPr>
        <w:rPr>
          <w:color w:val="545757"/>
        </w:rPr>
      </w:pPr>
    </w:p>
    <w:p w14:paraId="40CFC7C9" w14:textId="77777777" w:rsidR="002906A7" w:rsidRPr="00E73237" w:rsidRDefault="002906A7">
      <w:pPr>
        <w:rPr>
          <w:color w:val="545757"/>
        </w:rPr>
      </w:pPr>
    </w:p>
    <w:p w14:paraId="19F35FC4" w14:textId="77777777" w:rsidR="002906A7" w:rsidRPr="00E73237" w:rsidRDefault="002906A7">
      <w:pPr>
        <w:rPr>
          <w:color w:val="545757"/>
        </w:rPr>
      </w:pPr>
    </w:p>
    <w:sectPr w:rsidR="002906A7" w:rsidRPr="00E7323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3F099" w14:textId="77777777" w:rsidR="003629EB" w:rsidRDefault="003629EB" w:rsidP="00A0162C">
      <w:pPr>
        <w:spacing w:after="0" w:line="240" w:lineRule="auto"/>
      </w:pPr>
      <w:r>
        <w:separator/>
      </w:r>
    </w:p>
  </w:endnote>
  <w:endnote w:type="continuationSeparator" w:id="0">
    <w:p w14:paraId="3571F1B5" w14:textId="77777777" w:rsidR="003629EB" w:rsidRDefault="003629EB"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03AE5" w14:textId="77777777" w:rsidR="000E5441" w:rsidRDefault="000E5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0613F" w14:textId="5FC6837D" w:rsidR="000E5441" w:rsidRDefault="000E5441" w:rsidP="000E5441">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638EE" w14:textId="77777777" w:rsidR="000E5441" w:rsidRDefault="000E5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4C3E4" w14:textId="77777777" w:rsidR="003629EB" w:rsidRDefault="003629EB" w:rsidP="00A0162C">
      <w:pPr>
        <w:spacing w:after="0" w:line="240" w:lineRule="auto"/>
      </w:pPr>
      <w:r>
        <w:separator/>
      </w:r>
    </w:p>
  </w:footnote>
  <w:footnote w:type="continuationSeparator" w:id="0">
    <w:p w14:paraId="63CF74E5" w14:textId="77777777" w:rsidR="003629EB" w:rsidRDefault="003629EB" w:rsidP="00A0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2BB46" w14:textId="77777777" w:rsidR="000E5441" w:rsidRDefault="000E5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DD43" w14:textId="77777777" w:rsidR="000E5441" w:rsidRDefault="000E5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49E1F" w14:textId="77777777" w:rsidR="000E5441" w:rsidRDefault="000E5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43499"/>
    <w:multiLevelType w:val="hybridMultilevel"/>
    <w:tmpl w:val="3C5E7118"/>
    <w:lvl w:ilvl="0" w:tplc="3A02E93A">
      <w:start w:val="1"/>
      <w:numFmt w:val="bullet"/>
      <w:lvlText w:val="ü"/>
      <w:lvlJc w:val="left"/>
      <w:pPr>
        <w:ind w:left="720" w:hanging="360"/>
      </w:pPr>
      <w:rPr>
        <w:rFonts w:ascii="Wingdings" w:hAnsi="Wingdings" w:hint="default"/>
        <w:b/>
        <w:i w:val="0"/>
        <w:color w:val="0D02E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82938"/>
    <w:multiLevelType w:val="hybridMultilevel"/>
    <w:tmpl w:val="AC1E81BC"/>
    <w:lvl w:ilvl="0" w:tplc="90CA34C2">
      <w:start w:val="1"/>
      <w:numFmt w:val="bullet"/>
      <w:lvlText w:val="ü"/>
      <w:lvlJc w:val="left"/>
      <w:pPr>
        <w:ind w:left="720" w:hanging="360"/>
      </w:pPr>
      <w:rPr>
        <w:rFonts w:ascii="Wingdings" w:hAnsi="Wingdings" w:hint="default"/>
        <w:b/>
        <w:i w:val="0"/>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DE645B"/>
    <w:multiLevelType w:val="hybridMultilevel"/>
    <w:tmpl w:val="9638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580235">
    <w:abstractNumId w:val="0"/>
  </w:num>
  <w:num w:numId="2" w16cid:durableId="1148941262">
    <w:abstractNumId w:val="1"/>
  </w:num>
  <w:num w:numId="3" w16cid:durableId="200299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21D0D"/>
    <w:rsid w:val="00044420"/>
    <w:rsid w:val="0009123A"/>
    <w:rsid w:val="000D74F8"/>
    <w:rsid w:val="000E5441"/>
    <w:rsid w:val="00171EFC"/>
    <w:rsid w:val="001C2AF5"/>
    <w:rsid w:val="001E78F9"/>
    <w:rsid w:val="002378E9"/>
    <w:rsid w:val="00257A92"/>
    <w:rsid w:val="00262D35"/>
    <w:rsid w:val="002906A7"/>
    <w:rsid w:val="00314E9E"/>
    <w:rsid w:val="0035157A"/>
    <w:rsid w:val="00351EF1"/>
    <w:rsid w:val="003629EB"/>
    <w:rsid w:val="0038330A"/>
    <w:rsid w:val="003C1490"/>
    <w:rsid w:val="003C70F8"/>
    <w:rsid w:val="003D68D8"/>
    <w:rsid w:val="00451204"/>
    <w:rsid w:val="004A2B57"/>
    <w:rsid w:val="004E0C07"/>
    <w:rsid w:val="00501D41"/>
    <w:rsid w:val="005121AA"/>
    <w:rsid w:val="0053651F"/>
    <w:rsid w:val="00572C04"/>
    <w:rsid w:val="005D06EF"/>
    <w:rsid w:val="00604197"/>
    <w:rsid w:val="00665B28"/>
    <w:rsid w:val="006A6932"/>
    <w:rsid w:val="006C47F2"/>
    <w:rsid w:val="006E1AB8"/>
    <w:rsid w:val="006E78CE"/>
    <w:rsid w:val="007C1F4F"/>
    <w:rsid w:val="007E020D"/>
    <w:rsid w:val="008348A4"/>
    <w:rsid w:val="00836D49"/>
    <w:rsid w:val="008819A2"/>
    <w:rsid w:val="008C39AE"/>
    <w:rsid w:val="008F3BB9"/>
    <w:rsid w:val="00904CD9"/>
    <w:rsid w:val="00923A6F"/>
    <w:rsid w:val="009645F8"/>
    <w:rsid w:val="00970E1D"/>
    <w:rsid w:val="00992F6E"/>
    <w:rsid w:val="00A0162C"/>
    <w:rsid w:val="00AF2EDF"/>
    <w:rsid w:val="00B42D5E"/>
    <w:rsid w:val="00BB1BF4"/>
    <w:rsid w:val="00CB206B"/>
    <w:rsid w:val="00CB58CD"/>
    <w:rsid w:val="00D1568E"/>
    <w:rsid w:val="00D41B04"/>
    <w:rsid w:val="00D8272A"/>
    <w:rsid w:val="00D96DFB"/>
    <w:rsid w:val="00DD76CD"/>
    <w:rsid w:val="00DE1246"/>
    <w:rsid w:val="00E45D71"/>
    <w:rsid w:val="00E73237"/>
    <w:rsid w:val="00EA63EB"/>
    <w:rsid w:val="00EC7531"/>
    <w:rsid w:val="00F60704"/>
    <w:rsid w:val="00F60DF9"/>
    <w:rsid w:val="00F63C37"/>
    <w:rsid w:val="00F7789E"/>
    <w:rsid w:val="00F906C5"/>
    <w:rsid w:val="00F94591"/>
    <w:rsid w:val="00F97D92"/>
    <w:rsid w:val="00FC1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ListParagraph">
    <w:name w:val="List Paragraph"/>
    <w:basedOn w:val="Normal"/>
    <w:uiPriority w:val="34"/>
    <w:qFormat/>
    <w:rsid w:val="00171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 w:id="102513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B45D7-DF99-481B-A8BA-45D319D7B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9927C-B5B3-47DC-8D37-FF27C7426FF7}">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3.xml><?xml version="1.0" encoding="utf-8"?>
<ds:datastoreItem xmlns:ds="http://schemas.openxmlformats.org/officeDocument/2006/customXml" ds:itemID="{7A590E0C-D284-4E74-96DB-747576F35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4</cp:revision>
  <dcterms:created xsi:type="dcterms:W3CDTF">2024-09-18T08:53:00Z</dcterms:created>
  <dcterms:modified xsi:type="dcterms:W3CDTF">2024-09-18T10:22:00Z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341300</vt:r8>
  </property>
  <property fmtid="{D5CDD505-2E9C-101B-9397-08002B2CF9AE}" pid="4" name="MediaServiceImageTags">
    <vt:lpwstr/>
  </property>
</Properties>
</file>